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6C5EB881" w:rsidR="006B6CB6" w:rsidRPr="00EB76E4" w:rsidRDefault="006B6CB6" w:rsidP="006B6CB6">
      <w:pPr>
        <w:pStyle w:val="CRCoverPage"/>
        <w:tabs>
          <w:tab w:val="right" w:pos="9639"/>
        </w:tabs>
        <w:spacing w:after="0"/>
        <w:rPr>
          <w:rFonts w:cs="Arial"/>
          <w:b/>
          <w:sz w:val="24"/>
          <w:szCs w:val="24"/>
          <w:lang w:val="sv-FI"/>
        </w:rPr>
      </w:pPr>
      <w:bookmarkStart w:id="0" w:name="_Hlk491845607"/>
      <w:r w:rsidRPr="00EB76E4">
        <w:rPr>
          <w:rFonts w:cs="Arial"/>
          <w:b/>
          <w:sz w:val="24"/>
          <w:szCs w:val="24"/>
          <w:lang w:val="sv-FI"/>
        </w:rPr>
        <w:t>3GPP TSG-RAN4#94bis-e</w:t>
      </w:r>
      <w:r w:rsidRPr="00EB76E4">
        <w:rPr>
          <w:rFonts w:cs="Arial"/>
          <w:b/>
          <w:sz w:val="24"/>
          <w:szCs w:val="24"/>
          <w:lang w:val="sv-FI"/>
        </w:rPr>
        <w:tab/>
      </w:r>
      <w:r w:rsidR="00294CDB" w:rsidRPr="00EB76E4">
        <w:rPr>
          <w:rFonts w:cs="Arial"/>
          <w:b/>
          <w:sz w:val="24"/>
          <w:szCs w:val="24"/>
          <w:lang w:val="sv-FI"/>
        </w:rPr>
        <w:t>R4-200</w:t>
      </w:r>
      <w:r w:rsidR="00EB76E4" w:rsidRPr="00EB76E4">
        <w:rPr>
          <w:rFonts w:cs="Arial"/>
          <w:b/>
          <w:sz w:val="24"/>
          <w:szCs w:val="24"/>
          <w:lang w:val="sv-FI"/>
        </w:rPr>
        <w:t>4</w:t>
      </w:r>
      <w:r w:rsidR="00EB76E4">
        <w:rPr>
          <w:rFonts w:cs="Arial"/>
          <w:b/>
          <w:sz w:val="24"/>
          <w:szCs w:val="24"/>
          <w:lang w:val="sv-FI"/>
        </w:rPr>
        <w:t>999</w:t>
      </w:r>
      <w:bookmarkStart w:id="1" w:name="_GoBack"/>
      <w:bookmarkEnd w:id="1"/>
    </w:p>
    <w:p w14:paraId="4DDEF262" w14:textId="7A1E5DE1" w:rsidR="006B6CB6" w:rsidRPr="0087636F" w:rsidRDefault="006B6CB6" w:rsidP="006B6CB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Pr>
          <w:rFonts w:cs="Arial"/>
          <w:b/>
          <w:sz w:val="24"/>
          <w:szCs w:val="24"/>
          <w:vertAlign w:val="superscript"/>
        </w:rPr>
        <w:t xml:space="preserve"> </w:t>
      </w:r>
      <w:r>
        <w:rPr>
          <w:rFonts w:cs="Arial"/>
          <w:b/>
          <w:sz w:val="24"/>
          <w:szCs w:val="24"/>
        </w:rPr>
        <w:t xml:space="preserve">Apr </w:t>
      </w:r>
      <w:r w:rsidRPr="00690ADD">
        <w:rPr>
          <w:rFonts w:cs="Arial"/>
          <w:b/>
          <w:sz w:val="24"/>
          <w:szCs w:val="24"/>
        </w:rPr>
        <w:t xml:space="preserve">– </w:t>
      </w:r>
      <w:r w:rsidR="00AB3FAE">
        <w:rPr>
          <w:rFonts w:cs="Arial"/>
          <w:b/>
          <w:sz w:val="24"/>
          <w:szCs w:val="24"/>
        </w:rPr>
        <w:t>30</w:t>
      </w:r>
      <w:r w:rsidRPr="0085598E">
        <w:rPr>
          <w:rFonts w:cs="Arial"/>
          <w:b/>
          <w:sz w:val="24"/>
          <w:szCs w:val="24"/>
          <w:vertAlign w:val="superscript"/>
        </w:rPr>
        <w:t>th</w:t>
      </w:r>
      <w:r>
        <w:rPr>
          <w:rFonts w:cs="Arial"/>
          <w:b/>
          <w:sz w:val="24"/>
          <w:szCs w:val="24"/>
        </w:rPr>
        <w:t xml:space="preserve"> Apr</w:t>
      </w:r>
      <w:r w:rsidRPr="00690ADD">
        <w:rPr>
          <w:rFonts w:cs="Arial"/>
          <w:b/>
          <w:sz w:val="24"/>
          <w:szCs w:val="24"/>
        </w:rPr>
        <w:t xml:space="preserve"> 20</w:t>
      </w:r>
      <w:bookmarkEnd w:id="0"/>
      <w:r>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6FE2126A"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26055" w:rsidRPr="00126055">
        <w:rPr>
          <w:sz w:val="22"/>
        </w:rPr>
        <w:t>FR2 new MPR and modifiedmpr-signaling</w:t>
      </w:r>
    </w:p>
    <w:p w14:paraId="23226DA5" w14:textId="35032E5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294CDB" w:rsidRPr="00294CDB">
        <w:rPr>
          <w:b/>
          <w:sz w:val="22"/>
        </w:rPr>
        <w:t>6.14.1.6</w:t>
      </w:r>
    </w:p>
    <w:p w14:paraId="7AD518C5" w14:textId="10396BA5" w:rsidR="0043450E" w:rsidRPr="00F26B60" w:rsidRDefault="0043450E" w:rsidP="0043450E">
      <w:pPr>
        <w:tabs>
          <w:tab w:val="left" w:pos="1985"/>
        </w:tabs>
        <w:jc w:val="both"/>
        <w:rPr>
          <w:caps/>
          <w:sz w:val="22"/>
        </w:rPr>
      </w:pPr>
      <w:r w:rsidRPr="00B16EEF">
        <w:rPr>
          <w:b/>
          <w:sz w:val="22"/>
        </w:rPr>
        <w:t>Document for:</w:t>
      </w:r>
      <w:r w:rsidRPr="00B16EEF">
        <w:rPr>
          <w:sz w:val="22"/>
        </w:rPr>
        <w:tab/>
      </w:r>
      <w:r w:rsidR="00AB3FAE">
        <w:rPr>
          <w:sz w:val="22"/>
        </w:rPr>
        <w:t>Discussion</w:t>
      </w:r>
    </w:p>
    <w:p w14:paraId="5C2448DB" w14:textId="1CFD1FA8" w:rsidR="0043450E" w:rsidRDefault="00126055" w:rsidP="0043450E">
      <w:pPr>
        <w:pStyle w:val="Heading1"/>
      </w:pPr>
      <w:r>
        <w:t>1</w:t>
      </w:r>
      <w:r>
        <w:tab/>
        <w:t>Introduction</w:t>
      </w:r>
    </w:p>
    <w:p w14:paraId="35B42921" w14:textId="7590380B" w:rsidR="00126055" w:rsidRDefault="00126055" w:rsidP="00126055">
      <w:r>
        <w:t>In RAN4#93 FR MPR requirement was enhanced [1] but unfortunately modifiedMPR table was not updated. In this contribution we discuss potential flaw in NR modifiedMPR signalling structure.</w:t>
      </w:r>
    </w:p>
    <w:p w14:paraId="38C301F2" w14:textId="3FC0A15C" w:rsidR="00126055" w:rsidRDefault="00126055" w:rsidP="00126055">
      <w:pPr>
        <w:pStyle w:val="Heading1"/>
      </w:pPr>
      <w:r>
        <w:t>2</w:t>
      </w:r>
      <w:r>
        <w:tab/>
        <w:t>Discussion</w:t>
      </w:r>
    </w:p>
    <w:p w14:paraId="6E24ACEF" w14:textId="619E4D27" w:rsidR="00126055" w:rsidRDefault="00126055" w:rsidP="00126055">
      <w:r>
        <w:t>In LTE there were 32-bit bitmap available for UE to indicate that it supports new MPR or A-MPR definition. This bit map is common for all bands. See below.</w:t>
      </w:r>
    </w:p>
    <w:p w14:paraId="28D667A8" w14:textId="77777777" w:rsidR="00126055" w:rsidRPr="008F71C3" w:rsidRDefault="00126055" w:rsidP="00126055">
      <w:pPr>
        <w:pStyle w:val="TH"/>
      </w:pPr>
      <w:r w:rsidRPr="008F71C3">
        <w:t xml:space="preserve">Table H.1-1: Definitions of the bits in the field </w:t>
      </w:r>
      <w:r w:rsidRPr="008F71C3">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126055" w:rsidRPr="008F71C3" w14:paraId="05128C99" w14:textId="77777777" w:rsidTr="00807AE7">
        <w:trPr>
          <w:jc w:val="center"/>
        </w:trPr>
        <w:tc>
          <w:tcPr>
            <w:tcW w:w="1418" w:type="dxa"/>
          </w:tcPr>
          <w:p w14:paraId="44536A87" w14:textId="77777777" w:rsidR="00126055" w:rsidRPr="008F71C3" w:rsidRDefault="00126055" w:rsidP="00807AE7">
            <w:pPr>
              <w:pStyle w:val="TAH"/>
              <w:rPr>
                <w:rFonts w:cs="Arial"/>
              </w:rPr>
            </w:pPr>
            <w:r w:rsidRPr="008F71C3">
              <w:rPr>
                <w:rFonts w:cs="Arial"/>
              </w:rPr>
              <w:t xml:space="preserve">Index of field </w:t>
            </w:r>
            <w:r w:rsidRPr="008F71C3">
              <w:rPr>
                <w:rFonts w:cs="Arial"/>
                <w:i/>
              </w:rPr>
              <w:t xml:space="preserve">   </w:t>
            </w:r>
            <w:r w:rsidRPr="008F71C3">
              <w:rPr>
                <w:rFonts w:cs="Arial"/>
                <w:b w:val="0"/>
                <w:bCs/>
              </w:rPr>
              <w:t>(bit number)</w:t>
            </w:r>
          </w:p>
        </w:tc>
        <w:tc>
          <w:tcPr>
            <w:tcW w:w="4446" w:type="dxa"/>
          </w:tcPr>
          <w:p w14:paraId="4F2A965B" w14:textId="77777777" w:rsidR="00126055" w:rsidRPr="008F71C3" w:rsidRDefault="00126055" w:rsidP="00807AE7">
            <w:pPr>
              <w:pStyle w:val="TAH"/>
              <w:rPr>
                <w:rFonts w:cs="Arial"/>
              </w:rPr>
            </w:pPr>
            <w:r w:rsidRPr="008F71C3">
              <w:rPr>
                <w:rFonts w:cs="Arial"/>
              </w:rPr>
              <w:t>Definition</w:t>
            </w:r>
          </w:p>
          <w:p w14:paraId="2FD70EAE" w14:textId="77777777" w:rsidR="00126055" w:rsidRPr="008F71C3" w:rsidRDefault="00126055" w:rsidP="00807AE7">
            <w:pPr>
              <w:pStyle w:val="TAH"/>
              <w:rPr>
                <w:rFonts w:cs="Arial"/>
                <w:b w:val="0"/>
                <w:bCs/>
              </w:rPr>
            </w:pPr>
            <w:r w:rsidRPr="008F71C3">
              <w:rPr>
                <w:rFonts w:cs="Arial"/>
                <w:b w:val="0"/>
                <w:bCs/>
              </w:rPr>
              <w:t>(description of the supported functionality if indicator set to one)</w:t>
            </w:r>
          </w:p>
        </w:tc>
        <w:tc>
          <w:tcPr>
            <w:tcW w:w="2466" w:type="dxa"/>
          </w:tcPr>
          <w:p w14:paraId="685AF915" w14:textId="77777777" w:rsidR="00126055" w:rsidRPr="008F71C3" w:rsidRDefault="00126055" w:rsidP="00807AE7">
            <w:pPr>
              <w:pStyle w:val="TAH"/>
              <w:rPr>
                <w:rFonts w:cs="Arial"/>
              </w:rPr>
            </w:pPr>
            <w:r w:rsidRPr="008F71C3">
              <w:rPr>
                <w:rFonts w:cs="Arial"/>
              </w:rPr>
              <w:t>Notes</w:t>
            </w:r>
          </w:p>
        </w:tc>
      </w:tr>
      <w:tr w:rsidR="00126055" w:rsidRPr="008F71C3" w14:paraId="1290917C" w14:textId="77777777" w:rsidTr="00807AE7">
        <w:trPr>
          <w:jc w:val="center"/>
        </w:trPr>
        <w:tc>
          <w:tcPr>
            <w:tcW w:w="1418" w:type="dxa"/>
          </w:tcPr>
          <w:p w14:paraId="33A887A0" w14:textId="77777777" w:rsidR="00126055" w:rsidRPr="008F71C3" w:rsidRDefault="00126055" w:rsidP="00807AE7">
            <w:pPr>
              <w:pStyle w:val="TAL"/>
              <w:rPr>
                <w:rFonts w:cs="Arial"/>
              </w:rPr>
            </w:pPr>
            <w:r w:rsidRPr="008F71C3">
              <w:rPr>
                <w:rFonts w:cs="Arial"/>
              </w:rPr>
              <w:t>0 (leftmost bit)</w:t>
            </w:r>
          </w:p>
        </w:tc>
        <w:tc>
          <w:tcPr>
            <w:tcW w:w="4446" w:type="dxa"/>
          </w:tcPr>
          <w:p w14:paraId="6367C7E2" w14:textId="77777777" w:rsidR="00126055" w:rsidRPr="008F71C3" w:rsidRDefault="00126055" w:rsidP="00807AE7">
            <w:pPr>
              <w:pStyle w:val="TAL"/>
              <w:rPr>
                <w:rFonts w:cs="Arial"/>
              </w:rPr>
            </w:pPr>
            <w:r w:rsidRPr="008F71C3">
              <w:rPr>
                <w:rFonts w:cs="Arial"/>
              </w:rPr>
              <w:t>- The MPR for intra-band contiguous carrier aggregation bandwidth class C with non-contiguous resource allocation specified in Clause 6.2.3A in version 12.5.0 of this specification</w:t>
            </w:r>
          </w:p>
        </w:tc>
        <w:tc>
          <w:tcPr>
            <w:tcW w:w="2466" w:type="dxa"/>
          </w:tcPr>
          <w:p w14:paraId="1F6C233D" w14:textId="77777777" w:rsidR="00126055" w:rsidRPr="008F71C3" w:rsidRDefault="00126055" w:rsidP="00807AE7">
            <w:pPr>
              <w:pStyle w:val="TAL"/>
              <w:rPr>
                <w:rFonts w:cs="Arial"/>
              </w:rPr>
            </w:pPr>
            <w:r w:rsidRPr="008F71C3">
              <w:rPr>
                <w:rFonts w:cs="Arial"/>
              </w:rPr>
              <w:t>- This bit shall be set to 1 by a UE supporting intra-band contiguous CA bandwidth class C</w:t>
            </w:r>
          </w:p>
        </w:tc>
      </w:tr>
      <w:tr w:rsidR="00126055" w:rsidRPr="008F71C3" w14:paraId="5B7C4ECB" w14:textId="77777777" w:rsidTr="00807AE7">
        <w:trPr>
          <w:jc w:val="center"/>
        </w:trPr>
        <w:tc>
          <w:tcPr>
            <w:tcW w:w="1418" w:type="dxa"/>
          </w:tcPr>
          <w:p w14:paraId="4F2A0FF9" w14:textId="77777777" w:rsidR="00126055" w:rsidRPr="008F71C3" w:rsidRDefault="00126055" w:rsidP="00807AE7">
            <w:pPr>
              <w:pStyle w:val="TAL"/>
              <w:rPr>
                <w:rFonts w:cs="Arial"/>
              </w:rPr>
            </w:pPr>
            <w:r w:rsidRPr="008F71C3">
              <w:rPr>
                <w:rFonts w:cs="Arial"/>
              </w:rPr>
              <w:t>1</w:t>
            </w:r>
          </w:p>
        </w:tc>
        <w:tc>
          <w:tcPr>
            <w:tcW w:w="4446" w:type="dxa"/>
          </w:tcPr>
          <w:p w14:paraId="1BB399B4" w14:textId="77777777" w:rsidR="00126055" w:rsidRPr="008F71C3" w:rsidRDefault="00126055" w:rsidP="00807AE7">
            <w:pPr>
              <w:pStyle w:val="TAL"/>
              <w:rPr>
                <w:rFonts w:cs="Arial"/>
              </w:rPr>
            </w:pPr>
            <w:r w:rsidRPr="008F71C3">
              <w:rPr>
                <w:rFonts w:cs="Arial"/>
              </w:rPr>
              <w:t xml:space="preserve">- The A-MPR associated with NS_05 for Band 1 in Clause 6.2.4 in version 12.10.0 of this specification.  </w:t>
            </w:r>
          </w:p>
        </w:tc>
        <w:tc>
          <w:tcPr>
            <w:tcW w:w="2466" w:type="dxa"/>
          </w:tcPr>
          <w:p w14:paraId="541C447D" w14:textId="77777777" w:rsidR="00126055" w:rsidRPr="008F71C3" w:rsidRDefault="00126055" w:rsidP="00807AE7">
            <w:pPr>
              <w:pStyle w:val="TAL"/>
              <w:rPr>
                <w:rFonts w:cs="Arial"/>
              </w:rPr>
            </w:pPr>
            <w:r w:rsidRPr="008F71C3">
              <w:rPr>
                <w:rFonts w:cs="Arial"/>
              </w:rPr>
              <w:t>- This bit shall be set to 1 by a UE supporting A-MPR associated to NS_05 for Band 1.</w:t>
            </w:r>
          </w:p>
        </w:tc>
      </w:tr>
      <w:tr w:rsidR="00126055" w:rsidRPr="008F71C3" w14:paraId="04C31D42" w14:textId="77777777" w:rsidTr="00807AE7">
        <w:trPr>
          <w:jc w:val="center"/>
        </w:trPr>
        <w:tc>
          <w:tcPr>
            <w:tcW w:w="1418" w:type="dxa"/>
            <w:tcBorders>
              <w:top w:val="single" w:sz="4" w:space="0" w:color="auto"/>
              <w:left w:val="single" w:sz="4" w:space="0" w:color="auto"/>
              <w:bottom w:val="single" w:sz="4" w:space="0" w:color="auto"/>
              <w:right w:val="single" w:sz="4" w:space="0" w:color="auto"/>
            </w:tcBorders>
          </w:tcPr>
          <w:p w14:paraId="4AE7A45A" w14:textId="77777777" w:rsidR="00126055" w:rsidRPr="008F71C3" w:rsidRDefault="00126055" w:rsidP="00807AE7">
            <w:pPr>
              <w:pStyle w:val="TAL"/>
              <w:rPr>
                <w:rFonts w:cs="Arial"/>
              </w:rPr>
            </w:pPr>
            <w:r w:rsidRPr="008F71C3">
              <w:rPr>
                <w:rFonts w:cs="Arial"/>
              </w:rPr>
              <w:t>2</w:t>
            </w:r>
          </w:p>
        </w:tc>
        <w:tc>
          <w:tcPr>
            <w:tcW w:w="4446" w:type="dxa"/>
            <w:tcBorders>
              <w:top w:val="single" w:sz="4" w:space="0" w:color="auto"/>
              <w:left w:val="single" w:sz="4" w:space="0" w:color="auto"/>
              <w:bottom w:val="single" w:sz="4" w:space="0" w:color="auto"/>
              <w:right w:val="single" w:sz="4" w:space="0" w:color="auto"/>
            </w:tcBorders>
          </w:tcPr>
          <w:p w14:paraId="3398EC09" w14:textId="77777777" w:rsidR="00126055" w:rsidRPr="008F71C3" w:rsidRDefault="00126055" w:rsidP="00807AE7">
            <w:pPr>
              <w:pStyle w:val="TAL"/>
              <w:rPr>
                <w:rFonts w:cs="Arial"/>
              </w:rPr>
            </w:pPr>
            <w:r w:rsidRPr="008F71C3">
              <w:rPr>
                <w:rFonts w:cs="Arial"/>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0CA3D8DC" w14:textId="77777777" w:rsidR="00126055" w:rsidRPr="008F71C3" w:rsidRDefault="00126055" w:rsidP="00807AE7">
            <w:pPr>
              <w:pStyle w:val="TAL"/>
              <w:rPr>
                <w:rFonts w:cs="Arial"/>
              </w:rPr>
            </w:pPr>
            <w:r w:rsidRPr="008F71C3">
              <w:rPr>
                <w:rFonts w:cs="Arial"/>
              </w:rPr>
              <w:t>- This bit shall be set to 1 by a power class 3 UE supporting A-MPR associated to NS_04 for Band 41.</w:t>
            </w:r>
          </w:p>
        </w:tc>
      </w:tr>
      <w:tr w:rsidR="00126055" w:rsidRPr="008F71C3" w14:paraId="171D42B7" w14:textId="77777777" w:rsidTr="00807AE7">
        <w:trPr>
          <w:jc w:val="center"/>
        </w:trPr>
        <w:tc>
          <w:tcPr>
            <w:tcW w:w="1418" w:type="dxa"/>
            <w:tcBorders>
              <w:top w:val="single" w:sz="4" w:space="0" w:color="auto"/>
              <w:left w:val="single" w:sz="4" w:space="0" w:color="auto"/>
              <w:bottom w:val="single" w:sz="4" w:space="0" w:color="auto"/>
              <w:right w:val="single" w:sz="4" w:space="0" w:color="auto"/>
            </w:tcBorders>
          </w:tcPr>
          <w:p w14:paraId="4C461C55" w14:textId="77777777" w:rsidR="00126055" w:rsidRPr="008F71C3" w:rsidRDefault="00126055" w:rsidP="00807AE7">
            <w:pPr>
              <w:pStyle w:val="TAL"/>
              <w:rPr>
                <w:rFonts w:cs="Arial"/>
              </w:rPr>
            </w:pPr>
            <w:r w:rsidRPr="008F71C3">
              <w:rPr>
                <w:rFonts w:cs="Arial"/>
              </w:rPr>
              <w:t>3</w:t>
            </w:r>
          </w:p>
        </w:tc>
        <w:tc>
          <w:tcPr>
            <w:tcW w:w="4446" w:type="dxa"/>
            <w:tcBorders>
              <w:top w:val="single" w:sz="4" w:space="0" w:color="auto"/>
              <w:left w:val="single" w:sz="4" w:space="0" w:color="auto"/>
              <w:bottom w:val="single" w:sz="4" w:space="0" w:color="auto"/>
              <w:right w:val="single" w:sz="4" w:space="0" w:color="auto"/>
            </w:tcBorders>
          </w:tcPr>
          <w:p w14:paraId="38B9BAED" w14:textId="77777777" w:rsidR="00126055" w:rsidRPr="008F71C3" w:rsidRDefault="00126055" w:rsidP="00807AE7">
            <w:pPr>
              <w:pStyle w:val="TAL"/>
              <w:rPr>
                <w:rFonts w:cs="Arial"/>
              </w:rPr>
            </w:pPr>
            <w:r w:rsidRPr="008F71C3">
              <w:rPr>
                <w:rFonts w:cs="Arial"/>
              </w:rPr>
              <w:t>The A-MPR associated with NS_31 for Band 41 in Table 6.2.4-26 in version 15.3.0 of this specification.</w:t>
            </w:r>
          </w:p>
        </w:tc>
        <w:tc>
          <w:tcPr>
            <w:tcW w:w="2466" w:type="dxa"/>
            <w:tcBorders>
              <w:top w:val="single" w:sz="4" w:space="0" w:color="auto"/>
              <w:left w:val="single" w:sz="4" w:space="0" w:color="auto"/>
              <w:bottom w:val="single" w:sz="4" w:space="0" w:color="auto"/>
              <w:right w:val="single" w:sz="4" w:space="0" w:color="auto"/>
            </w:tcBorders>
          </w:tcPr>
          <w:p w14:paraId="4844EBF7" w14:textId="77777777" w:rsidR="00126055" w:rsidRPr="008F71C3" w:rsidRDefault="00126055" w:rsidP="00807AE7">
            <w:pPr>
              <w:pStyle w:val="TAL"/>
              <w:rPr>
                <w:rFonts w:cs="Arial"/>
              </w:rPr>
            </w:pPr>
            <w:r w:rsidRPr="008F71C3">
              <w:rPr>
                <w:rFonts w:cs="Arial"/>
              </w:rPr>
              <w:t>- This bit shall be set to 1 by a UE supporting A-MPR associated to NS_31 for Band 46.</w:t>
            </w:r>
          </w:p>
        </w:tc>
      </w:tr>
    </w:tbl>
    <w:p w14:paraId="1BD0804A" w14:textId="77777777" w:rsidR="00126055" w:rsidRPr="00126055" w:rsidRDefault="00126055" w:rsidP="00126055"/>
    <w:p w14:paraId="06614E0B" w14:textId="7E9BC425" w:rsidR="00126055" w:rsidRDefault="00126055" w:rsidP="00126055">
      <w:r>
        <w:t>In NR however the bitmap which is 8-bits is per band</w:t>
      </w:r>
      <w:r w:rsidR="00154D1C">
        <w:t>. Below example from -3 as -1 or -2 does not have such table yet.</w:t>
      </w:r>
    </w:p>
    <w:p w14:paraId="3FDD08E4" w14:textId="77777777" w:rsidR="00126055" w:rsidRPr="001F078B" w:rsidRDefault="00126055" w:rsidP="00126055">
      <w:pPr>
        <w:pStyle w:val="TH"/>
      </w:pPr>
      <w:r w:rsidRPr="001F078B">
        <w:t xml:space="preserve">Table H.1-1: Definitions of the bits in the field </w:t>
      </w:r>
      <w:r w:rsidRPr="001F078B">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126055" w:rsidRPr="001F078B" w14:paraId="30A89DF0" w14:textId="77777777" w:rsidTr="00807AE7">
        <w:trPr>
          <w:jc w:val="center"/>
        </w:trPr>
        <w:tc>
          <w:tcPr>
            <w:tcW w:w="1396" w:type="dxa"/>
          </w:tcPr>
          <w:p w14:paraId="1DAADCB6" w14:textId="77777777" w:rsidR="00126055" w:rsidRPr="001F078B" w:rsidRDefault="00126055" w:rsidP="00807AE7">
            <w:pPr>
              <w:pStyle w:val="TAH"/>
              <w:rPr>
                <w:rFonts w:cs="Arial"/>
              </w:rPr>
            </w:pPr>
            <w:r w:rsidRPr="001F078B">
              <w:rPr>
                <w:rFonts w:cs="Arial"/>
              </w:rPr>
              <w:t>NR Band</w:t>
            </w:r>
          </w:p>
        </w:tc>
        <w:tc>
          <w:tcPr>
            <w:tcW w:w="1408" w:type="dxa"/>
          </w:tcPr>
          <w:p w14:paraId="3EE1E957" w14:textId="77777777" w:rsidR="00126055" w:rsidRPr="001F078B" w:rsidRDefault="00126055" w:rsidP="00807AE7">
            <w:pPr>
              <w:pStyle w:val="TAH"/>
              <w:rPr>
                <w:rFonts w:cs="Arial"/>
                <w:i/>
              </w:rPr>
            </w:pPr>
            <w:r w:rsidRPr="001F078B">
              <w:rPr>
                <w:rFonts w:cs="Arial"/>
              </w:rPr>
              <w:t>Index of field</w:t>
            </w:r>
          </w:p>
          <w:p w14:paraId="7BC1836C" w14:textId="77777777" w:rsidR="00126055" w:rsidRPr="001F078B" w:rsidRDefault="00126055" w:rsidP="00807AE7">
            <w:pPr>
              <w:pStyle w:val="TAH"/>
              <w:rPr>
                <w:rFonts w:cs="Arial"/>
              </w:rPr>
            </w:pPr>
            <w:r w:rsidRPr="001F078B">
              <w:rPr>
                <w:rFonts w:cs="Arial"/>
                <w:b w:val="0"/>
                <w:bCs/>
              </w:rPr>
              <w:t>(bit number)</w:t>
            </w:r>
          </w:p>
        </w:tc>
        <w:tc>
          <w:tcPr>
            <w:tcW w:w="4387" w:type="dxa"/>
          </w:tcPr>
          <w:p w14:paraId="49DBB7C0" w14:textId="77777777" w:rsidR="00126055" w:rsidRPr="001F078B" w:rsidRDefault="00126055" w:rsidP="00807AE7">
            <w:pPr>
              <w:pStyle w:val="TAH"/>
              <w:rPr>
                <w:rFonts w:cs="Arial"/>
              </w:rPr>
            </w:pPr>
            <w:r w:rsidRPr="001F078B">
              <w:rPr>
                <w:rFonts w:cs="Arial"/>
              </w:rPr>
              <w:t>Definition</w:t>
            </w:r>
          </w:p>
          <w:p w14:paraId="0D2521C9" w14:textId="77777777" w:rsidR="00126055" w:rsidRPr="001F078B" w:rsidRDefault="00126055" w:rsidP="00807AE7">
            <w:pPr>
              <w:pStyle w:val="TAH"/>
              <w:rPr>
                <w:rFonts w:cs="Arial"/>
                <w:b w:val="0"/>
                <w:bCs/>
              </w:rPr>
            </w:pPr>
            <w:r w:rsidRPr="001F078B">
              <w:rPr>
                <w:rFonts w:cs="Arial"/>
                <w:b w:val="0"/>
                <w:bCs/>
              </w:rPr>
              <w:t>(description of the supported functionality if indicator set to one)</w:t>
            </w:r>
          </w:p>
        </w:tc>
        <w:tc>
          <w:tcPr>
            <w:tcW w:w="2440" w:type="dxa"/>
          </w:tcPr>
          <w:p w14:paraId="648DD81C" w14:textId="77777777" w:rsidR="00126055" w:rsidRPr="001F078B" w:rsidRDefault="00126055" w:rsidP="00807AE7">
            <w:pPr>
              <w:pStyle w:val="TAH"/>
              <w:rPr>
                <w:rFonts w:cs="Arial"/>
              </w:rPr>
            </w:pPr>
            <w:r w:rsidRPr="001F078B">
              <w:rPr>
                <w:rFonts w:cs="Arial"/>
              </w:rPr>
              <w:t>Notes</w:t>
            </w:r>
          </w:p>
        </w:tc>
      </w:tr>
      <w:tr w:rsidR="00126055" w:rsidRPr="001F078B" w14:paraId="0190CD6A" w14:textId="77777777" w:rsidTr="00807AE7">
        <w:trPr>
          <w:jc w:val="center"/>
        </w:trPr>
        <w:tc>
          <w:tcPr>
            <w:tcW w:w="1396" w:type="dxa"/>
            <w:vMerge w:val="restart"/>
          </w:tcPr>
          <w:p w14:paraId="4FBFCC04" w14:textId="77777777" w:rsidR="00126055" w:rsidRPr="001F078B" w:rsidRDefault="00126055" w:rsidP="00807AE7">
            <w:pPr>
              <w:pStyle w:val="TAC"/>
            </w:pPr>
            <w:r w:rsidRPr="001F078B">
              <w:t>n41</w:t>
            </w:r>
          </w:p>
        </w:tc>
        <w:tc>
          <w:tcPr>
            <w:tcW w:w="1408" w:type="dxa"/>
          </w:tcPr>
          <w:p w14:paraId="0C028867" w14:textId="77777777" w:rsidR="00126055" w:rsidRPr="001F078B" w:rsidRDefault="00126055" w:rsidP="00807AE7">
            <w:pPr>
              <w:pStyle w:val="TAL"/>
              <w:rPr>
                <w:rFonts w:cs="Arial"/>
              </w:rPr>
            </w:pPr>
            <w:r w:rsidRPr="001F078B">
              <w:rPr>
                <w:rFonts w:cs="Arial"/>
              </w:rPr>
              <w:t>0 (leftmost bit)</w:t>
            </w:r>
          </w:p>
        </w:tc>
        <w:tc>
          <w:tcPr>
            <w:tcW w:w="4387" w:type="dxa"/>
          </w:tcPr>
          <w:p w14:paraId="58378DD1" w14:textId="77777777" w:rsidR="00126055" w:rsidRPr="001F078B" w:rsidRDefault="00126055" w:rsidP="00807AE7">
            <w:pPr>
              <w:pStyle w:val="TAL"/>
              <w:rPr>
                <w:rFonts w:cs="Arial"/>
              </w:rPr>
            </w:pPr>
            <w:r w:rsidRPr="001F078B">
              <w:rPr>
                <w:rFonts w:cs="Arial"/>
              </w:rPr>
              <w:t>- EN-DC contiguous intraband MPR as defined in clausue 6.2B.2.1 of 38.101-3 v15.5.0</w:t>
            </w:r>
          </w:p>
        </w:tc>
        <w:tc>
          <w:tcPr>
            <w:tcW w:w="2440" w:type="dxa"/>
          </w:tcPr>
          <w:p w14:paraId="66485FD1" w14:textId="77777777" w:rsidR="00126055" w:rsidRPr="001F078B" w:rsidRDefault="00126055" w:rsidP="00807AE7">
            <w:pPr>
              <w:pStyle w:val="TAL"/>
              <w:rPr>
                <w:rFonts w:cs="Arial"/>
              </w:rPr>
            </w:pPr>
            <w:r w:rsidRPr="001F078B">
              <w:rPr>
                <w:rFonts w:cs="Arial"/>
              </w:rPr>
              <w:t xml:space="preserve">- This bit may be set to 1 by a UE supporting DC_(n)41AA UE EN-DC </w:t>
            </w:r>
          </w:p>
        </w:tc>
      </w:tr>
      <w:tr w:rsidR="00126055" w:rsidRPr="001F078B" w14:paraId="68788358" w14:textId="77777777" w:rsidTr="00807AE7">
        <w:trPr>
          <w:jc w:val="center"/>
        </w:trPr>
        <w:tc>
          <w:tcPr>
            <w:tcW w:w="1396" w:type="dxa"/>
            <w:vMerge/>
          </w:tcPr>
          <w:p w14:paraId="2B2511FB" w14:textId="77777777" w:rsidR="00126055" w:rsidRPr="001F078B" w:rsidRDefault="00126055" w:rsidP="00807AE7">
            <w:pPr>
              <w:pStyle w:val="TAC"/>
            </w:pPr>
          </w:p>
        </w:tc>
        <w:tc>
          <w:tcPr>
            <w:tcW w:w="1408" w:type="dxa"/>
          </w:tcPr>
          <w:p w14:paraId="482FA60C" w14:textId="77777777" w:rsidR="00126055" w:rsidRPr="001F078B" w:rsidRDefault="00126055" w:rsidP="00807AE7">
            <w:pPr>
              <w:pStyle w:val="TAL"/>
              <w:rPr>
                <w:rFonts w:cs="Arial"/>
              </w:rPr>
            </w:pPr>
            <w:r w:rsidRPr="001F078B">
              <w:rPr>
                <w:rFonts w:cs="Arial"/>
              </w:rPr>
              <w:t>1</w:t>
            </w:r>
          </w:p>
        </w:tc>
        <w:tc>
          <w:tcPr>
            <w:tcW w:w="4387" w:type="dxa"/>
          </w:tcPr>
          <w:p w14:paraId="6701F3DC" w14:textId="77777777" w:rsidR="00126055" w:rsidRPr="001F078B" w:rsidRDefault="00126055" w:rsidP="00807AE7">
            <w:pPr>
              <w:pStyle w:val="TAL"/>
              <w:rPr>
                <w:rFonts w:cs="Arial"/>
              </w:rPr>
            </w:pPr>
            <w:r w:rsidRPr="001F078B">
              <w:rPr>
                <w:rFonts w:cs="Arial"/>
              </w:rPr>
              <w:t>- EN-DC non-contiguous intraband MPR as defined in clause 6.2B.2.2 of 38.101-3 v15.5.0</w:t>
            </w:r>
          </w:p>
        </w:tc>
        <w:tc>
          <w:tcPr>
            <w:tcW w:w="2440" w:type="dxa"/>
          </w:tcPr>
          <w:p w14:paraId="50F52AD1" w14:textId="77777777" w:rsidR="00126055" w:rsidRPr="001F078B" w:rsidRDefault="00126055" w:rsidP="00807AE7">
            <w:pPr>
              <w:pStyle w:val="TAL"/>
              <w:rPr>
                <w:rFonts w:cs="Arial"/>
              </w:rPr>
            </w:pPr>
            <w:r w:rsidRPr="001F078B">
              <w:rPr>
                <w:rFonts w:cs="Arial"/>
              </w:rPr>
              <w:t xml:space="preserve">- This bit may be set to 1 by a UE supporting DC_41A_n41A EN-DC </w:t>
            </w:r>
          </w:p>
        </w:tc>
      </w:tr>
      <w:tr w:rsidR="00126055" w:rsidRPr="001F078B" w14:paraId="45FF3267" w14:textId="77777777" w:rsidTr="00807AE7">
        <w:trPr>
          <w:jc w:val="center"/>
        </w:trPr>
        <w:tc>
          <w:tcPr>
            <w:tcW w:w="1396" w:type="dxa"/>
            <w:tcBorders>
              <w:top w:val="single" w:sz="4" w:space="0" w:color="auto"/>
              <w:left w:val="single" w:sz="4" w:space="0" w:color="auto"/>
              <w:bottom w:val="single" w:sz="4" w:space="0" w:color="auto"/>
              <w:right w:val="single" w:sz="4" w:space="0" w:color="auto"/>
            </w:tcBorders>
          </w:tcPr>
          <w:p w14:paraId="7253A4A0" w14:textId="77777777" w:rsidR="00126055" w:rsidRPr="001F078B" w:rsidRDefault="00126055" w:rsidP="00807AE7">
            <w:pPr>
              <w:pStyle w:val="TAC"/>
            </w:pPr>
            <w:r w:rsidRPr="001F078B">
              <w:t>n71</w:t>
            </w:r>
          </w:p>
        </w:tc>
        <w:tc>
          <w:tcPr>
            <w:tcW w:w="1408" w:type="dxa"/>
          </w:tcPr>
          <w:p w14:paraId="0DDF9047" w14:textId="77777777" w:rsidR="00126055" w:rsidRPr="001F078B" w:rsidRDefault="00126055" w:rsidP="00807AE7">
            <w:pPr>
              <w:pStyle w:val="TAL"/>
              <w:rPr>
                <w:rFonts w:cs="Arial"/>
              </w:rPr>
            </w:pPr>
            <w:r w:rsidRPr="001F078B">
              <w:rPr>
                <w:rFonts w:cs="Arial"/>
              </w:rPr>
              <w:t>0 (leftmost bit)</w:t>
            </w:r>
          </w:p>
        </w:tc>
        <w:tc>
          <w:tcPr>
            <w:tcW w:w="4387" w:type="dxa"/>
          </w:tcPr>
          <w:p w14:paraId="54AEBAE6" w14:textId="77777777" w:rsidR="00126055" w:rsidRPr="001F078B" w:rsidRDefault="00126055" w:rsidP="00807AE7">
            <w:pPr>
              <w:pStyle w:val="TAL"/>
              <w:rPr>
                <w:rFonts w:cs="Arial"/>
              </w:rPr>
            </w:pPr>
            <w:r w:rsidRPr="001F078B">
              <w:rPr>
                <w:rFonts w:cs="Arial"/>
              </w:rPr>
              <w:t>- EN-DC contiguous intraband MPR as defined in clausue 6.2B.2.1 of 38.101-3 v15.5.0</w:t>
            </w:r>
          </w:p>
        </w:tc>
        <w:tc>
          <w:tcPr>
            <w:tcW w:w="2440" w:type="dxa"/>
          </w:tcPr>
          <w:p w14:paraId="4E44F1DB" w14:textId="77777777" w:rsidR="00126055" w:rsidRPr="001F078B" w:rsidRDefault="00126055" w:rsidP="00807AE7">
            <w:pPr>
              <w:pStyle w:val="TAL"/>
              <w:rPr>
                <w:rFonts w:cs="Arial"/>
              </w:rPr>
            </w:pPr>
            <w:r w:rsidRPr="001F078B">
              <w:rPr>
                <w:rFonts w:cs="Arial"/>
              </w:rPr>
              <w:t xml:space="preserve">- This bit may be set to 1 by a UE supporting DC_(n)71AA UE EN-DC </w:t>
            </w:r>
          </w:p>
        </w:tc>
      </w:tr>
    </w:tbl>
    <w:p w14:paraId="3C3E5F5B" w14:textId="77777777" w:rsidR="00126055" w:rsidRDefault="00126055" w:rsidP="00126055"/>
    <w:p w14:paraId="1D4232B7" w14:textId="04FF815A" w:rsidR="00126055" w:rsidRDefault="00154D1C" w:rsidP="00126055">
      <w:r>
        <w:lastRenderedPageBreak/>
        <w:t xml:space="preserve">Now because [1] FR2 MPR was enhanced we need to add </w:t>
      </w:r>
      <w:r w:rsidRPr="00154D1C">
        <w:t>modifiedMPRbehavior</w:t>
      </w:r>
      <w:r>
        <w:t>-table to -2 but the problem is that as MPR is common to all bands we need to reserve one bit for enhanced MPR for all FR2 bands. This is bit unfortunate, perhaps there would be better way?</w:t>
      </w:r>
    </w:p>
    <w:p w14:paraId="59121257" w14:textId="08AE7207" w:rsidR="00154D1C" w:rsidRPr="00154D1C" w:rsidRDefault="00154D1C" w:rsidP="00126055">
      <w:pPr>
        <w:rPr>
          <w:b/>
        </w:rPr>
      </w:pPr>
      <w:r w:rsidRPr="00154D1C">
        <w:rPr>
          <w:b/>
        </w:rPr>
        <w:t>Observation: RAN4 needs to discuss how to indicate enhanced FR 2 MPR in modifiedMPRbehavior-table.</w:t>
      </w:r>
    </w:p>
    <w:p w14:paraId="15D17031" w14:textId="2592B57A" w:rsidR="00126055" w:rsidRDefault="00126055" w:rsidP="00126055">
      <w:pPr>
        <w:pStyle w:val="Heading1"/>
      </w:pPr>
      <w:r>
        <w:t>4</w:t>
      </w:r>
      <w:r>
        <w:tab/>
        <w:t>References</w:t>
      </w:r>
    </w:p>
    <w:p w14:paraId="0848CF4F" w14:textId="4DE09507" w:rsidR="00126055" w:rsidRPr="00126055" w:rsidRDefault="00126055" w:rsidP="00126055">
      <w:r>
        <w:t xml:space="preserve">[1] </w:t>
      </w:r>
      <w:r w:rsidRPr="00126055">
        <w:t>R4-1915755</w:t>
      </w:r>
      <w:r w:rsidRPr="00126055">
        <w:tab/>
        <w:t>CR to 38.101-2-g10 Corrections to maximum output power reduction for power class 3</w:t>
      </w:r>
      <w:r w:rsidRPr="00126055">
        <w:tab/>
        <w:t>Skyworks Solutions Inc., RAN4#93</w:t>
      </w:r>
    </w:p>
    <w:p w14:paraId="5BD603B6" w14:textId="3C594079" w:rsidR="00C81190" w:rsidRDefault="00C81190" w:rsidP="000B5E8E"/>
    <w:p w14:paraId="470B3640" w14:textId="77777777" w:rsidR="00C81190" w:rsidRDefault="00C81190" w:rsidP="000B5E8E"/>
    <w:sectPr w:rsidR="00C81190"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0B501" w14:textId="77777777" w:rsidR="004A14C2" w:rsidRDefault="004A14C2" w:rsidP="002B3503">
      <w:pPr>
        <w:spacing w:after="0"/>
      </w:pPr>
      <w:r>
        <w:separator/>
      </w:r>
    </w:p>
  </w:endnote>
  <w:endnote w:type="continuationSeparator" w:id="0">
    <w:p w14:paraId="4885592D" w14:textId="77777777" w:rsidR="004A14C2" w:rsidRDefault="004A14C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77ABF" w14:textId="77777777" w:rsidR="004A14C2" w:rsidRDefault="004A14C2" w:rsidP="002B3503">
      <w:pPr>
        <w:spacing w:after="0"/>
      </w:pPr>
      <w:r>
        <w:separator/>
      </w:r>
    </w:p>
  </w:footnote>
  <w:footnote w:type="continuationSeparator" w:id="0">
    <w:p w14:paraId="3E28B292" w14:textId="77777777" w:rsidR="004A14C2" w:rsidRDefault="004A14C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0F50EC"/>
    <w:rsid w:val="00101626"/>
    <w:rsid w:val="00126055"/>
    <w:rsid w:val="001364A1"/>
    <w:rsid w:val="0015000E"/>
    <w:rsid w:val="00154D1C"/>
    <w:rsid w:val="0016131F"/>
    <w:rsid w:val="001953B8"/>
    <w:rsid w:val="002127E2"/>
    <w:rsid w:val="00214C87"/>
    <w:rsid w:val="00215035"/>
    <w:rsid w:val="00242B76"/>
    <w:rsid w:val="00291DDD"/>
    <w:rsid w:val="00294CDB"/>
    <w:rsid w:val="002A7181"/>
    <w:rsid w:val="002B3503"/>
    <w:rsid w:val="002F6A38"/>
    <w:rsid w:val="00347DEA"/>
    <w:rsid w:val="003777FE"/>
    <w:rsid w:val="0042109F"/>
    <w:rsid w:val="00426A90"/>
    <w:rsid w:val="0043450E"/>
    <w:rsid w:val="00453BA5"/>
    <w:rsid w:val="00454E53"/>
    <w:rsid w:val="00482477"/>
    <w:rsid w:val="00491386"/>
    <w:rsid w:val="00494F18"/>
    <w:rsid w:val="004A14C2"/>
    <w:rsid w:val="004A41DA"/>
    <w:rsid w:val="004C0103"/>
    <w:rsid w:val="004C58F9"/>
    <w:rsid w:val="004D0C67"/>
    <w:rsid w:val="004D3D81"/>
    <w:rsid w:val="00560A63"/>
    <w:rsid w:val="00564B2E"/>
    <w:rsid w:val="00570B14"/>
    <w:rsid w:val="005B2640"/>
    <w:rsid w:val="005B30C2"/>
    <w:rsid w:val="005F4052"/>
    <w:rsid w:val="005F6CE3"/>
    <w:rsid w:val="00602EB6"/>
    <w:rsid w:val="00637D58"/>
    <w:rsid w:val="00641C2E"/>
    <w:rsid w:val="00641E1F"/>
    <w:rsid w:val="00664DF6"/>
    <w:rsid w:val="006919C7"/>
    <w:rsid w:val="006B6CB6"/>
    <w:rsid w:val="006C44A0"/>
    <w:rsid w:val="006C6840"/>
    <w:rsid w:val="00726265"/>
    <w:rsid w:val="00734EBD"/>
    <w:rsid w:val="007D1C54"/>
    <w:rsid w:val="007D20DF"/>
    <w:rsid w:val="008236E4"/>
    <w:rsid w:val="00850296"/>
    <w:rsid w:val="008A4493"/>
    <w:rsid w:val="0091383D"/>
    <w:rsid w:val="00940559"/>
    <w:rsid w:val="00996062"/>
    <w:rsid w:val="009A1B59"/>
    <w:rsid w:val="009B1E68"/>
    <w:rsid w:val="00A451E8"/>
    <w:rsid w:val="00A6018C"/>
    <w:rsid w:val="00AB3FAE"/>
    <w:rsid w:val="00AE6327"/>
    <w:rsid w:val="00AF7CB0"/>
    <w:rsid w:val="00B4385F"/>
    <w:rsid w:val="00B65B59"/>
    <w:rsid w:val="00BC2924"/>
    <w:rsid w:val="00BC764C"/>
    <w:rsid w:val="00BF4B17"/>
    <w:rsid w:val="00C21554"/>
    <w:rsid w:val="00C81190"/>
    <w:rsid w:val="00C96281"/>
    <w:rsid w:val="00D275CC"/>
    <w:rsid w:val="00D767C4"/>
    <w:rsid w:val="00D77CF5"/>
    <w:rsid w:val="00E33B68"/>
    <w:rsid w:val="00E962C5"/>
    <w:rsid w:val="00EA3488"/>
    <w:rsid w:val="00EB5F7D"/>
    <w:rsid w:val="00EB76E4"/>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76E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EB76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B76E4"/>
    <w:pPr>
      <w:pBdr>
        <w:top w:val="none" w:sz="0" w:space="0" w:color="auto"/>
      </w:pBdr>
      <w:spacing w:before="180"/>
      <w:outlineLvl w:val="1"/>
    </w:pPr>
    <w:rPr>
      <w:sz w:val="32"/>
    </w:rPr>
  </w:style>
  <w:style w:type="paragraph" w:styleId="Heading3">
    <w:name w:val="heading 3"/>
    <w:basedOn w:val="Heading2"/>
    <w:next w:val="Normal"/>
    <w:qFormat/>
    <w:rsid w:val="00EB76E4"/>
    <w:pPr>
      <w:spacing w:before="120"/>
      <w:outlineLvl w:val="2"/>
    </w:pPr>
    <w:rPr>
      <w:sz w:val="28"/>
    </w:rPr>
  </w:style>
  <w:style w:type="paragraph" w:styleId="Heading4">
    <w:name w:val="heading 4"/>
    <w:basedOn w:val="Heading3"/>
    <w:next w:val="Normal"/>
    <w:qFormat/>
    <w:rsid w:val="00EB76E4"/>
    <w:pPr>
      <w:ind w:left="1418" w:hanging="1418"/>
      <w:outlineLvl w:val="3"/>
    </w:pPr>
    <w:rPr>
      <w:sz w:val="24"/>
    </w:rPr>
  </w:style>
  <w:style w:type="paragraph" w:styleId="Heading5">
    <w:name w:val="heading 5"/>
    <w:basedOn w:val="Heading4"/>
    <w:next w:val="Normal"/>
    <w:qFormat/>
    <w:rsid w:val="00EB76E4"/>
    <w:pPr>
      <w:ind w:left="1701" w:hanging="1701"/>
      <w:outlineLvl w:val="4"/>
    </w:pPr>
    <w:rPr>
      <w:sz w:val="22"/>
    </w:rPr>
  </w:style>
  <w:style w:type="paragraph" w:styleId="Heading6">
    <w:name w:val="heading 6"/>
    <w:basedOn w:val="H6"/>
    <w:next w:val="Normal"/>
    <w:qFormat/>
    <w:rsid w:val="00EB76E4"/>
    <w:pPr>
      <w:outlineLvl w:val="5"/>
    </w:pPr>
  </w:style>
  <w:style w:type="paragraph" w:styleId="Heading7">
    <w:name w:val="heading 7"/>
    <w:basedOn w:val="H6"/>
    <w:next w:val="Normal"/>
    <w:qFormat/>
    <w:rsid w:val="00EB76E4"/>
    <w:pPr>
      <w:outlineLvl w:val="6"/>
    </w:pPr>
  </w:style>
  <w:style w:type="paragraph" w:styleId="Heading8">
    <w:name w:val="heading 8"/>
    <w:basedOn w:val="Heading1"/>
    <w:next w:val="Normal"/>
    <w:qFormat/>
    <w:rsid w:val="00EB76E4"/>
    <w:pPr>
      <w:ind w:left="0" w:firstLine="0"/>
      <w:outlineLvl w:val="7"/>
    </w:pPr>
  </w:style>
  <w:style w:type="paragraph" w:styleId="Heading9">
    <w:name w:val="heading 9"/>
    <w:basedOn w:val="Heading8"/>
    <w:next w:val="Normal"/>
    <w:qFormat/>
    <w:rsid w:val="00EB76E4"/>
    <w:pPr>
      <w:outlineLvl w:val="8"/>
    </w:pPr>
  </w:style>
  <w:style w:type="character" w:default="1" w:styleId="DefaultParagraphFont">
    <w:name w:val="Default Paragraph Font"/>
    <w:semiHidden/>
    <w:rsid w:val="00EB76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76E4"/>
  </w:style>
  <w:style w:type="paragraph" w:styleId="TOC8">
    <w:name w:val="toc 8"/>
    <w:basedOn w:val="TOC1"/>
    <w:semiHidden/>
    <w:rsid w:val="00EB76E4"/>
    <w:pPr>
      <w:spacing w:before="180"/>
      <w:ind w:left="2693" w:hanging="2693"/>
    </w:pPr>
    <w:rPr>
      <w:b/>
    </w:rPr>
  </w:style>
  <w:style w:type="paragraph" w:styleId="TOC1">
    <w:name w:val="toc 1"/>
    <w:semiHidden/>
    <w:rsid w:val="00EB76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EB76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B76E4"/>
    <w:pPr>
      <w:ind w:left="1701" w:hanging="1701"/>
    </w:pPr>
  </w:style>
  <w:style w:type="paragraph" w:styleId="TOC4">
    <w:name w:val="toc 4"/>
    <w:basedOn w:val="TOC3"/>
    <w:semiHidden/>
    <w:rsid w:val="00EB76E4"/>
    <w:pPr>
      <w:ind w:left="1418" w:hanging="1418"/>
    </w:pPr>
  </w:style>
  <w:style w:type="paragraph" w:styleId="TOC3">
    <w:name w:val="toc 3"/>
    <w:basedOn w:val="TOC2"/>
    <w:semiHidden/>
    <w:rsid w:val="00EB76E4"/>
    <w:pPr>
      <w:ind w:left="1134" w:hanging="1134"/>
    </w:pPr>
  </w:style>
  <w:style w:type="paragraph" w:styleId="TOC2">
    <w:name w:val="toc 2"/>
    <w:basedOn w:val="TOC1"/>
    <w:semiHidden/>
    <w:rsid w:val="00EB76E4"/>
    <w:pPr>
      <w:keepNext w:val="0"/>
      <w:spacing w:before="0"/>
      <w:ind w:left="851" w:hanging="851"/>
    </w:pPr>
    <w:rPr>
      <w:sz w:val="20"/>
    </w:rPr>
  </w:style>
  <w:style w:type="paragraph" w:styleId="Index2">
    <w:name w:val="index 2"/>
    <w:basedOn w:val="Index1"/>
    <w:semiHidden/>
    <w:rsid w:val="00EB76E4"/>
    <w:pPr>
      <w:ind w:left="284"/>
    </w:pPr>
  </w:style>
  <w:style w:type="paragraph" w:styleId="Index1">
    <w:name w:val="index 1"/>
    <w:basedOn w:val="Normal"/>
    <w:semiHidden/>
    <w:rsid w:val="00EB76E4"/>
    <w:pPr>
      <w:keepLines/>
      <w:spacing w:after="0"/>
    </w:pPr>
  </w:style>
  <w:style w:type="paragraph" w:customStyle="1" w:styleId="ZH">
    <w:name w:val="ZH"/>
    <w:rsid w:val="00EB76E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B76E4"/>
    <w:pPr>
      <w:outlineLvl w:val="9"/>
    </w:pPr>
  </w:style>
  <w:style w:type="paragraph" w:styleId="ListNumber2">
    <w:name w:val="List Number 2"/>
    <w:basedOn w:val="ListNumber"/>
    <w:semiHidden/>
    <w:rsid w:val="00EB76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76E4"/>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EB76E4"/>
    <w:rPr>
      <w:b/>
      <w:position w:val="6"/>
      <w:sz w:val="16"/>
    </w:rPr>
  </w:style>
  <w:style w:type="paragraph" w:styleId="FootnoteText">
    <w:name w:val="footnote text"/>
    <w:basedOn w:val="Normal"/>
    <w:semiHidden/>
    <w:rsid w:val="00EB76E4"/>
    <w:pPr>
      <w:keepLines/>
      <w:spacing w:after="0"/>
      <w:ind w:left="454" w:hanging="454"/>
    </w:pPr>
    <w:rPr>
      <w:sz w:val="16"/>
    </w:rPr>
  </w:style>
  <w:style w:type="paragraph" w:customStyle="1" w:styleId="TAH">
    <w:name w:val="TAH"/>
    <w:basedOn w:val="TAC"/>
    <w:link w:val="TAHCar"/>
    <w:rsid w:val="00EB76E4"/>
    <w:rPr>
      <w:b/>
    </w:rPr>
  </w:style>
  <w:style w:type="paragraph" w:customStyle="1" w:styleId="TAC">
    <w:name w:val="TAC"/>
    <w:basedOn w:val="TAL"/>
    <w:link w:val="TACChar"/>
    <w:rsid w:val="00EB76E4"/>
    <w:pPr>
      <w:jc w:val="center"/>
    </w:pPr>
  </w:style>
  <w:style w:type="paragraph" w:customStyle="1" w:styleId="TF">
    <w:name w:val="TF"/>
    <w:basedOn w:val="TH"/>
    <w:rsid w:val="00EB76E4"/>
    <w:pPr>
      <w:keepNext w:val="0"/>
      <w:spacing w:before="0" w:after="240"/>
    </w:pPr>
  </w:style>
  <w:style w:type="paragraph" w:customStyle="1" w:styleId="NO">
    <w:name w:val="NO"/>
    <w:basedOn w:val="Normal"/>
    <w:rsid w:val="00EB76E4"/>
    <w:pPr>
      <w:keepLines/>
      <w:ind w:left="1135" w:hanging="851"/>
    </w:pPr>
  </w:style>
  <w:style w:type="paragraph" w:styleId="TOC9">
    <w:name w:val="toc 9"/>
    <w:basedOn w:val="TOC8"/>
    <w:semiHidden/>
    <w:rsid w:val="00EB76E4"/>
    <w:pPr>
      <w:ind w:left="1418" w:hanging="1418"/>
    </w:pPr>
  </w:style>
  <w:style w:type="paragraph" w:customStyle="1" w:styleId="EX">
    <w:name w:val="EX"/>
    <w:basedOn w:val="Normal"/>
    <w:rsid w:val="00EB76E4"/>
    <w:pPr>
      <w:keepLines/>
      <w:ind w:left="1702" w:hanging="1418"/>
    </w:pPr>
  </w:style>
  <w:style w:type="paragraph" w:customStyle="1" w:styleId="FP">
    <w:name w:val="FP"/>
    <w:basedOn w:val="Normal"/>
    <w:rsid w:val="00EB76E4"/>
    <w:pPr>
      <w:spacing w:after="0"/>
    </w:pPr>
  </w:style>
  <w:style w:type="paragraph" w:customStyle="1" w:styleId="LD">
    <w:name w:val="LD"/>
    <w:rsid w:val="00EB76E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B76E4"/>
    <w:pPr>
      <w:spacing w:after="0"/>
    </w:pPr>
  </w:style>
  <w:style w:type="paragraph" w:customStyle="1" w:styleId="EW">
    <w:name w:val="EW"/>
    <w:basedOn w:val="EX"/>
    <w:rsid w:val="00EB76E4"/>
    <w:pPr>
      <w:spacing w:after="0"/>
    </w:pPr>
  </w:style>
  <w:style w:type="paragraph" w:styleId="TOC6">
    <w:name w:val="toc 6"/>
    <w:basedOn w:val="TOC5"/>
    <w:next w:val="Normal"/>
    <w:semiHidden/>
    <w:rsid w:val="00EB76E4"/>
    <w:pPr>
      <w:ind w:left="1985" w:hanging="1985"/>
    </w:pPr>
  </w:style>
  <w:style w:type="paragraph" w:styleId="TOC7">
    <w:name w:val="toc 7"/>
    <w:basedOn w:val="TOC6"/>
    <w:next w:val="Normal"/>
    <w:semiHidden/>
    <w:rsid w:val="00EB76E4"/>
    <w:pPr>
      <w:ind w:left="2268" w:hanging="2268"/>
    </w:pPr>
  </w:style>
  <w:style w:type="paragraph" w:styleId="ListBullet2">
    <w:name w:val="List Bullet 2"/>
    <w:basedOn w:val="ListBullet"/>
    <w:semiHidden/>
    <w:rsid w:val="00EB76E4"/>
    <w:pPr>
      <w:ind w:left="851"/>
    </w:pPr>
  </w:style>
  <w:style w:type="paragraph" w:styleId="ListBullet3">
    <w:name w:val="List Bullet 3"/>
    <w:basedOn w:val="ListBullet2"/>
    <w:semiHidden/>
    <w:rsid w:val="00EB76E4"/>
    <w:pPr>
      <w:ind w:left="1135"/>
    </w:pPr>
  </w:style>
  <w:style w:type="paragraph" w:styleId="ListNumber">
    <w:name w:val="List Number"/>
    <w:basedOn w:val="List"/>
    <w:semiHidden/>
    <w:rsid w:val="00EB76E4"/>
  </w:style>
  <w:style w:type="paragraph" w:customStyle="1" w:styleId="EQ">
    <w:name w:val="EQ"/>
    <w:basedOn w:val="Normal"/>
    <w:next w:val="Normal"/>
    <w:rsid w:val="00EB76E4"/>
    <w:pPr>
      <w:keepLines/>
      <w:tabs>
        <w:tab w:val="center" w:pos="4536"/>
        <w:tab w:val="right" w:pos="9072"/>
      </w:tabs>
    </w:pPr>
    <w:rPr>
      <w:noProof/>
    </w:rPr>
  </w:style>
  <w:style w:type="paragraph" w:customStyle="1" w:styleId="TH">
    <w:name w:val="TH"/>
    <w:basedOn w:val="Normal"/>
    <w:link w:val="THChar"/>
    <w:rsid w:val="00EB76E4"/>
    <w:pPr>
      <w:keepNext/>
      <w:keepLines/>
      <w:spacing w:before="60"/>
      <w:jc w:val="center"/>
    </w:pPr>
    <w:rPr>
      <w:rFonts w:ascii="Arial" w:hAnsi="Arial"/>
      <w:b/>
    </w:rPr>
  </w:style>
  <w:style w:type="paragraph" w:customStyle="1" w:styleId="NF">
    <w:name w:val="NF"/>
    <w:basedOn w:val="NO"/>
    <w:rsid w:val="00EB76E4"/>
    <w:pPr>
      <w:keepNext/>
      <w:spacing w:after="0"/>
    </w:pPr>
    <w:rPr>
      <w:rFonts w:ascii="Arial" w:hAnsi="Arial"/>
      <w:sz w:val="18"/>
    </w:rPr>
  </w:style>
  <w:style w:type="paragraph" w:customStyle="1" w:styleId="PL">
    <w:name w:val="PL"/>
    <w:rsid w:val="00EB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B76E4"/>
    <w:pPr>
      <w:jc w:val="right"/>
    </w:pPr>
  </w:style>
  <w:style w:type="paragraph" w:customStyle="1" w:styleId="H6">
    <w:name w:val="H6"/>
    <w:basedOn w:val="Heading5"/>
    <w:next w:val="Normal"/>
    <w:rsid w:val="00EB76E4"/>
    <w:pPr>
      <w:ind w:left="1985" w:hanging="1985"/>
      <w:outlineLvl w:val="9"/>
    </w:pPr>
    <w:rPr>
      <w:sz w:val="20"/>
    </w:rPr>
  </w:style>
  <w:style w:type="paragraph" w:customStyle="1" w:styleId="TAN">
    <w:name w:val="TAN"/>
    <w:basedOn w:val="TAL"/>
    <w:rsid w:val="00EB76E4"/>
    <w:pPr>
      <w:ind w:left="851" w:hanging="851"/>
    </w:pPr>
  </w:style>
  <w:style w:type="paragraph" w:customStyle="1" w:styleId="TAL">
    <w:name w:val="TAL"/>
    <w:basedOn w:val="Normal"/>
    <w:link w:val="TALCar"/>
    <w:rsid w:val="00EB76E4"/>
    <w:pPr>
      <w:keepNext/>
      <w:keepLines/>
      <w:spacing w:after="0"/>
    </w:pPr>
    <w:rPr>
      <w:rFonts w:ascii="Arial" w:hAnsi="Arial"/>
      <w:sz w:val="18"/>
    </w:rPr>
  </w:style>
  <w:style w:type="paragraph" w:customStyle="1" w:styleId="ZA">
    <w:name w:val="ZA"/>
    <w:rsid w:val="00EB7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B7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B76E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B7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B76E4"/>
    <w:pPr>
      <w:framePr w:wrap="notBeside" w:y="16161"/>
    </w:pPr>
  </w:style>
  <w:style w:type="character" w:customStyle="1" w:styleId="ZGSM">
    <w:name w:val="ZGSM"/>
    <w:rsid w:val="00EB76E4"/>
  </w:style>
  <w:style w:type="paragraph" w:styleId="List2">
    <w:name w:val="List 2"/>
    <w:basedOn w:val="List"/>
    <w:semiHidden/>
    <w:rsid w:val="00EB76E4"/>
    <w:pPr>
      <w:ind w:left="851"/>
    </w:pPr>
  </w:style>
  <w:style w:type="paragraph" w:customStyle="1" w:styleId="ZG">
    <w:name w:val="ZG"/>
    <w:rsid w:val="00EB76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B76E4"/>
    <w:pPr>
      <w:ind w:left="1135"/>
    </w:pPr>
  </w:style>
  <w:style w:type="paragraph" w:styleId="List4">
    <w:name w:val="List 4"/>
    <w:basedOn w:val="List3"/>
    <w:semiHidden/>
    <w:rsid w:val="00EB76E4"/>
    <w:pPr>
      <w:ind w:left="1418"/>
    </w:pPr>
  </w:style>
  <w:style w:type="paragraph" w:styleId="List5">
    <w:name w:val="List 5"/>
    <w:basedOn w:val="List4"/>
    <w:semiHidden/>
    <w:rsid w:val="00EB76E4"/>
    <w:pPr>
      <w:ind w:left="1702"/>
    </w:pPr>
  </w:style>
  <w:style w:type="paragraph" w:customStyle="1" w:styleId="EditorsNote">
    <w:name w:val="Editor's Note"/>
    <w:basedOn w:val="NO"/>
    <w:rsid w:val="00EB76E4"/>
    <w:rPr>
      <w:color w:val="FF0000"/>
    </w:rPr>
  </w:style>
  <w:style w:type="paragraph" w:styleId="List">
    <w:name w:val="List"/>
    <w:basedOn w:val="Normal"/>
    <w:semiHidden/>
    <w:rsid w:val="00EB76E4"/>
    <w:pPr>
      <w:ind w:left="568" w:hanging="284"/>
    </w:pPr>
  </w:style>
  <w:style w:type="paragraph" w:styleId="ListBullet">
    <w:name w:val="List Bullet"/>
    <w:basedOn w:val="List"/>
    <w:semiHidden/>
    <w:rsid w:val="00EB76E4"/>
  </w:style>
  <w:style w:type="paragraph" w:styleId="ListBullet4">
    <w:name w:val="List Bullet 4"/>
    <w:basedOn w:val="ListBullet3"/>
    <w:semiHidden/>
    <w:rsid w:val="00EB76E4"/>
    <w:pPr>
      <w:ind w:left="1418"/>
    </w:pPr>
  </w:style>
  <w:style w:type="paragraph" w:styleId="ListBullet5">
    <w:name w:val="List Bullet 5"/>
    <w:basedOn w:val="ListBullet4"/>
    <w:semiHidden/>
    <w:rsid w:val="00EB76E4"/>
    <w:pPr>
      <w:ind w:left="1702"/>
    </w:pPr>
  </w:style>
  <w:style w:type="paragraph" w:customStyle="1" w:styleId="B1">
    <w:name w:val="B1"/>
    <w:basedOn w:val="List"/>
    <w:rsid w:val="00EB76E4"/>
  </w:style>
  <w:style w:type="paragraph" w:customStyle="1" w:styleId="B2">
    <w:name w:val="B2"/>
    <w:basedOn w:val="List2"/>
    <w:rsid w:val="00EB76E4"/>
  </w:style>
  <w:style w:type="paragraph" w:customStyle="1" w:styleId="B3">
    <w:name w:val="B3"/>
    <w:basedOn w:val="List3"/>
    <w:rsid w:val="00EB76E4"/>
  </w:style>
  <w:style w:type="paragraph" w:customStyle="1" w:styleId="B4">
    <w:name w:val="B4"/>
    <w:basedOn w:val="List4"/>
    <w:rsid w:val="00EB76E4"/>
  </w:style>
  <w:style w:type="paragraph" w:customStyle="1" w:styleId="B5">
    <w:name w:val="B5"/>
    <w:basedOn w:val="List5"/>
    <w:rsid w:val="00EB76E4"/>
  </w:style>
  <w:style w:type="paragraph" w:styleId="Footer">
    <w:name w:val="footer"/>
    <w:basedOn w:val="Header"/>
    <w:semiHidden/>
    <w:rsid w:val="00EB76E4"/>
    <w:pPr>
      <w:jc w:val="center"/>
    </w:pPr>
    <w:rPr>
      <w:i/>
    </w:rPr>
  </w:style>
  <w:style w:type="paragraph" w:customStyle="1" w:styleId="ZTD">
    <w:name w:val="ZTD"/>
    <w:basedOn w:val="ZB"/>
    <w:rsid w:val="00EB76E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GB"/>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GB"/>
    </w:rPr>
  </w:style>
  <w:style w:type="character" w:customStyle="1" w:styleId="TAHCar">
    <w:name w:val="TAH Car"/>
    <w:link w:val="TAH"/>
    <w:qFormat/>
    <w:rsid w:val="004C010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GB" w:eastAsia="en-GB"/>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GB"/>
    </w:rPr>
  </w:style>
  <w:style w:type="character" w:customStyle="1" w:styleId="THChar">
    <w:name w:val="TH Char"/>
    <w:link w:val="TH"/>
    <w:qFormat/>
    <w:rsid w:val="0012605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2517</Characters>
  <Application>Microsoft Office Word</Application>
  <DocSecurity>0</DocSecurity>
  <Lines>20</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CR0125r1</cp:lastModifiedBy>
  <cp:revision>3</cp:revision>
  <cp:lastPrinted>1899-12-31T23:00:00Z</cp:lastPrinted>
  <dcterms:created xsi:type="dcterms:W3CDTF">2020-04-09T07:26:00Z</dcterms:created>
  <dcterms:modified xsi:type="dcterms:W3CDTF">2020-04-14T17:45:00Z</dcterms:modified>
</cp:coreProperties>
</file>